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SYLLABUS FOR GENERAL BIOLOGY</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LIFE SCIENCE AND PHYSICAL EDUCATION DIVISION, CROWDER COLLEGE, Fall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COURSE TITLE &amp; NUMBER: General Biology, BIOL 101 02 NEO, Biology 101</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CREDIT HOURS: 5</w:t>
        <w:tab/>
        <w:tab/>
        <w:tab/>
        <w:tab/>
        <w:tab/>
        <w:tab/>
        <w:tab/>
        <w:tab/>
        <w:tab/>
        <w:tab/>
        <w:t xml:space="preserve">PREREQUISITES: None</w:t>
        <w:tab/>
        <w:tab/>
        <w:tab/>
        <w:tab/>
        <w:t xml:space="preserve">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COURSE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General Biology is an introduction to biology and will cover important principles in biology ranging from the chemical basis of life to the interactions of living organisms with one another and their environment.  Areas of study will include: chemistry in living organisms, cell structure, cellular metabolism, genetics, a survey of living organisms based on accepted classification systems, and ecology.  A practical laboratory component supporting lecture material will emphasize scientific observation and investigation.  This is a general education course in biology for non-majors.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COURSE 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 clear understanding of the contents of this course will help all students make informed decisions regarding personal health and environmental issues.  An intended goal of this biology course is to increase interest in, and to provide a solid basis for understanding recent developments in biological science.  Successful completion of this course will lay the foundation for understanding the chemical and cellular basis of life, provide knowledge of the many different kinds of living organisms, and lead to recognition of the importance of a healthy environment and the interdependence of all living organisms.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TEXT:</w:t>
        <w:tab/>
        <w:t xml:space="preserve">Symbiosis:  Biological Sciences, Pearson Custom Library </w:t>
      </w:r>
    </w:p>
    <w:p w:rsidR="00000000" w:rsidDel="00000000" w:rsidP="00000000" w:rsidRDefault="00000000" w:rsidRPr="00000000">
      <w:pPr>
        <w:ind w:left="360" w:firstLine="360"/>
        <w:contextualSpacing w:val="0"/>
      </w:pPr>
      <w:r w:rsidDel="00000000" w:rsidR="00000000" w:rsidRPr="00000000">
        <w:rPr>
          <w:rFonts w:ascii="Arial" w:cs="Arial" w:eastAsia="Arial" w:hAnsi="Arial"/>
          <w:rtl w:val="0"/>
        </w:rPr>
        <w:t xml:space="preserve">Pearson Learning Solutions, Boston Massachusetts, 2011</w:t>
      </w:r>
    </w:p>
    <w:p w:rsidR="00000000" w:rsidDel="00000000" w:rsidP="00000000" w:rsidRDefault="00000000" w:rsidRPr="00000000">
      <w:pPr>
        <w:contextualSpacing w:val="0"/>
      </w:pPr>
      <w:r w:rsidDel="00000000" w:rsidR="00000000" w:rsidRPr="00000000">
        <w:rPr>
          <w:rFonts w:ascii="Arial" w:cs="Arial" w:eastAsia="Arial" w:hAnsi="Arial"/>
          <w:rtl w:val="0"/>
        </w:rPr>
        <w:tab/>
        <w:tab/>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INSTRUCTOR:</w:t>
        <w:tab/>
        <w:tab/>
        <w:t xml:space="preserve">Ben Reuter</w:t>
        <w:tab/>
        <w:tab/>
        <w:tab/>
      </w:r>
    </w:p>
    <w:p w:rsidR="00000000" w:rsidDel="00000000" w:rsidP="00000000" w:rsidRDefault="00000000" w:rsidRPr="00000000">
      <w:pPr>
        <w:contextualSpacing w:val="0"/>
      </w:pPr>
      <w:r w:rsidDel="00000000" w:rsidR="00000000" w:rsidRPr="00000000">
        <w:rPr>
          <w:rFonts w:ascii="Arial" w:cs="Arial" w:eastAsia="Arial" w:hAnsi="Arial"/>
          <w:rtl w:val="0"/>
        </w:rPr>
        <w:t xml:space="preserve">EMAIL:  </w:t>
        <w:tab/>
        <w:tab/>
        <w:t xml:space="preserve">breuter@cassville.k12.mo.us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EVALUATION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Grades will be based 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080" w:hanging="360"/>
        <w:rPr/>
      </w:pPr>
      <w:r w:rsidDel="00000000" w:rsidR="00000000" w:rsidRPr="00000000">
        <w:rPr>
          <w:rFonts w:ascii="Arial" w:cs="Arial" w:eastAsia="Arial" w:hAnsi="Arial"/>
          <w:rtl w:val="0"/>
        </w:rPr>
        <w:t xml:space="preserve">      12 unit exams, 100 points each, 60% of grade</w:t>
      </w:r>
    </w:p>
    <w:p w:rsidR="00000000" w:rsidDel="00000000" w:rsidP="00000000" w:rsidRDefault="00000000" w:rsidRPr="00000000">
      <w:pPr>
        <w:numPr>
          <w:ilvl w:val="0"/>
          <w:numId w:val="1"/>
        </w:numPr>
        <w:ind w:left="720" w:firstLine="0"/>
        <w:rPr/>
      </w:pPr>
      <w:r w:rsidDel="00000000" w:rsidR="00000000" w:rsidRPr="00000000">
        <w:rPr>
          <w:rFonts w:ascii="Arial" w:cs="Arial" w:eastAsia="Arial" w:hAnsi="Arial"/>
          <w:rtl w:val="0"/>
        </w:rPr>
        <w:t xml:space="preserve">laboratory exercises, 20% of grade</w:t>
      </w:r>
    </w:p>
    <w:p w:rsidR="00000000" w:rsidDel="00000000" w:rsidP="00000000" w:rsidRDefault="00000000" w:rsidRPr="00000000">
      <w:pPr>
        <w:numPr>
          <w:ilvl w:val="0"/>
          <w:numId w:val="1"/>
        </w:numPr>
        <w:ind w:left="720" w:firstLine="0"/>
        <w:rPr>
          <w:rFonts w:ascii="Arial" w:cs="Arial" w:eastAsia="Arial" w:hAnsi="Arial"/>
          <w:u w:val="none"/>
        </w:rPr>
      </w:pPr>
      <w:r w:rsidDel="00000000" w:rsidR="00000000" w:rsidRPr="00000000">
        <w:rPr>
          <w:rFonts w:ascii="Arial" w:cs="Arial" w:eastAsia="Arial" w:hAnsi="Arial"/>
          <w:rtl w:val="0"/>
        </w:rPr>
        <w:t xml:space="preserve">12 Reviews 20%</w:t>
      </w:r>
    </w:p>
    <w:p w:rsidR="00000000" w:rsidDel="00000000" w:rsidP="00000000" w:rsidRDefault="00000000" w:rsidRPr="00000000">
      <w:pPr>
        <w:numPr>
          <w:ilvl w:val="0"/>
          <w:numId w:val="1"/>
        </w:numPr>
        <w:ind w:left="1080" w:hanging="360"/>
        <w:rPr>
          <w:rFonts w:ascii="Arial" w:cs="Arial" w:eastAsia="Arial" w:hAnsi="Arial"/>
          <w:u w:val="none"/>
        </w:rPr>
      </w:pPr>
      <w:r w:rsidDel="00000000" w:rsidR="00000000" w:rsidRPr="00000000">
        <w:rPr>
          <w:rFonts w:ascii="Arial" w:cs="Arial" w:eastAsia="Arial" w:hAnsi="Arial"/>
          <w:rtl w:val="0"/>
        </w:rPr>
        <w:t xml:space="preserve">     Crowder grade will be average of 1st and 2nd semester grade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Final exam will be comprehensive.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Cassville High School grades will follow the handbook</w:t>
        <w:tab/>
        <w:tab/>
        <w:tab/>
        <w:tab/>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Crowder Grading: 90-100% A; 80-89% B; 70-79% C; 60-69% D; below 60% failing.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rFonts w:ascii="Arial" w:cs="Arial" w:eastAsia="Arial" w:hAnsi="Arial"/>
          <w:rtl w:val="0"/>
        </w:rPr>
        <w:t xml:space="preserve">No cell phone use during lecture, lab, or exams. </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COURSE OUTLINE:</w:t>
      </w:r>
    </w:p>
    <w:p w:rsidR="00000000" w:rsidDel="00000000" w:rsidP="00000000" w:rsidRDefault="00000000" w:rsidRPr="00000000">
      <w:pPr>
        <w:tabs>
          <w:tab w:val="left" w:pos="855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First quarter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Unit 1 </w:t>
        <w:tab/>
        <w:tab/>
        <w:tab/>
        <w:t xml:space="preserve">Introduction, scientific method; Chapter 1, Basic chemistry; Chapter 2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Unit 2</w:t>
        <w:tab/>
        <w:tab/>
        <w:tab/>
        <w:t xml:space="preserve">Biomolecules and enzymes; Chapter 3 and Chapter 6</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Unit 3</w:t>
        <w:tab/>
        <w:tab/>
        <w:tab/>
        <w:t xml:space="preserve">Cell structure and the Plasma Membrane; Chapter 4 and Chapter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Second quarter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Unit 4</w:t>
        <w:tab/>
        <w:tab/>
        <w:tab/>
        <w:t xml:space="preserve">Cell division; Chapter 9 and 10</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Unit 5</w:t>
        <w:tab/>
        <w:tab/>
        <w:tab/>
        <w:t xml:space="preserve">DNA and Molecular Genetics; Chapter 13 and Chapter 14</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Unit 6</w:t>
        <w:tab/>
        <w:tab/>
        <w:tab/>
        <w:t xml:space="preserve">Microbiology and Fungi, Chapters 19 and 20</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Final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Third quarter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Unit 7</w:t>
        <w:tab/>
        <w:tab/>
        <w:tab/>
        <w:t xml:space="preserve">Genetics, Chapters 11 and 12</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Unit 8</w:t>
        <w:tab/>
        <w:tab/>
        <w:tab/>
        <w:t xml:space="preserve">Evolution, Chapters 17 and 18</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Unit 9</w:t>
        <w:tab/>
        <w:tab/>
        <w:tab/>
        <w:t xml:space="preserve">Principles of cellular respiration and photosynthesis; Chapters 7 and Chapter 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Fourth quarter</w:t>
        <w:tab/>
        <w:tab/>
      </w:r>
    </w:p>
    <w:p w:rsidR="00000000" w:rsidDel="00000000" w:rsidP="00000000" w:rsidRDefault="00000000" w:rsidRPr="00000000">
      <w:pPr>
        <w:contextualSpacing w:val="0"/>
      </w:pPr>
      <w:r w:rsidDel="00000000" w:rsidR="00000000" w:rsidRPr="00000000">
        <w:rPr>
          <w:rFonts w:ascii="Arial" w:cs="Arial" w:eastAsia="Arial" w:hAnsi="Arial"/>
          <w:rtl w:val="0"/>
        </w:rPr>
        <w:t xml:space="preserve">Unit 10</w:t>
        <w:tab/>
        <w:tab/>
        <w:tab/>
        <w:t xml:space="preserve">Animal diversity chapter 21</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Unit 11</w:t>
        <w:tab/>
        <w:tab/>
        <w:tab/>
        <w:t xml:space="preserve">Plant survey, Plant form and function; Chapter 22 and Chapter 23</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Unit 12</w:t>
        <w:tab/>
        <w:tab/>
        <w:tab/>
        <w:t xml:space="preserve">Ecology and energy flow Chapters 30 and 31</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Final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Arial" w:cs="Arial" w:eastAsia="Arial" w:hAnsi="Arial"/>
          <w:i w:val="1"/>
          <w:rtl w:val="0"/>
        </w:rPr>
        <w:t xml:space="preserve">Crowder College makes every reasonable effort to accommodate students with disabilities.  If you are a student with a disability and require accommodation for this class, please contact Christy Manning, Office of Disability Services, 417-455-5733.  Please make these arrangements at the start of the semester and notify your instructor of your needs.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w:t>
      </w:r>
      <w:r w:rsidDel="00000000" w:rsidR="00000000" w:rsidRPr="00000000">
        <w:rPr>
          <w:rtl w:val="0"/>
        </w:rPr>
      </w:r>
    </w:p>
    <w:sectPr>
      <w:pgSz w:h="15840" w:w="12240"/>
      <w:pgMar w:bottom="1152"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
      <w:lvlJc w:val="left"/>
      <w:pPr>
        <w:ind w:left="720" w:firstLine="720"/>
      </w:pPr>
      <w:rPr/>
    </w:lvl>
    <w:lvl w:ilvl="2">
      <w:start w:val="1"/>
      <w:numFmt w:val="bullet"/>
      <w:lvlText w:val=""/>
      <w:lvlJc w:val="left"/>
      <w:pPr>
        <w:ind w:left="720" w:firstLine="720"/>
      </w:pPr>
      <w:rPr/>
    </w:lvl>
    <w:lvl w:ilvl="3">
      <w:start w:val="1"/>
      <w:numFmt w:val="bullet"/>
      <w:lvlText w:val=""/>
      <w:lvlJc w:val="left"/>
      <w:pPr>
        <w:ind w:left="720" w:firstLine="720"/>
      </w:pPr>
      <w:rPr/>
    </w:lvl>
    <w:lvl w:ilvl="4">
      <w:start w:val="1"/>
      <w:numFmt w:val="bullet"/>
      <w:lvlText w:val=""/>
      <w:lvlJc w:val="left"/>
      <w:pPr>
        <w:ind w:left="720" w:firstLine="720"/>
      </w:pPr>
      <w:rPr/>
    </w:lvl>
    <w:lvl w:ilvl="5">
      <w:start w:val="1"/>
      <w:numFmt w:val="bullet"/>
      <w:lvlText w:val=""/>
      <w:lvlJc w:val="left"/>
      <w:pPr>
        <w:ind w:left="720" w:firstLine="720"/>
      </w:pPr>
      <w:rPr/>
    </w:lvl>
    <w:lvl w:ilvl="6">
      <w:start w:val="1"/>
      <w:numFmt w:val="bullet"/>
      <w:lvlText w:val=""/>
      <w:lvlJc w:val="left"/>
      <w:pPr>
        <w:ind w:left="720" w:firstLine="720"/>
      </w:pPr>
      <w:rPr/>
    </w:lvl>
    <w:lvl w:ilvl="7">
      <w:start w:val="1"/>
      <w:numFmt w:val="bullet"/>
      <w:lvlText w:val=""/>
      <w:lvlJc w:val="left"/>
      <w:pPr>
        <w:ind w:left="720" w:firstLine="720"/>
      </w:pPr>
      <w:rPr/>
    </w:lvl>
    <w:lvl w:ilvl="8">
      <w:start w:val="1"/>
      <w:numFmt w:val="bullet"/>
      <w:lvlText w:val=""/>
      <w:lvlJc w:val="left"/>
      <w:pPr>
        <w:ind w:left="720" w:firstLine="7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