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100" w:before="100" w:line="240" w:lineRule="auto"/>
        <w:contextualSpacing w:val="0"/>
        <w:jc w:val="center"/>
      </w:pPr>
      <w:bookmarkStart w:colFirst="0" w:colLast="0" w:name="h.gjdgxs" w:id="0"/>
      <w:bookmarkEnd w:id="0"/>
      <w:r w:rsidDel="00000000" w:rsidR="00000000" w:rsidRPr="00000000">
        <w:rPr>
          <w:rFonts w:ascii="Times New Roman" w:cs="Times New Roman" w:eastAsia="Times New Roman" w:hAnsi="Times New Roman"/>
          <w:b w:val="1"/>
          <w:sz w:val="24"/>
          <w:szCs w:val="24"/>
          <w:rtl w:val="0"/>
        </w:rPr>
        <w:t xml:space="preserve">INSTITUTIONAL SYLLABUS</w:t>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1"/>
          <w:sz w:val="24"/>
          <w:szCs w:val="24"/>
          <w:rtl w:val="0"/>
        </w:rPr>
        <w:t xml:space="preserve">COURSE NUMBER:</w:t>
      </w:r>
      <w:r w:rsidDel="00000000" w:rsidR="00000000" w:rsidRPr="00000000">
        <w:rPr>
          <w:rFonts w:ascii="Times New Roman" w:cs="Times New Roman" w:eastAsia="Times New Roman" w:hAnsi="Times New Roman"/>
          <w:b w:val="0"/>
          <w:sz w:val="24"/>
          <w:szCs w:val="24"/>
          <w:rtl w:val="0"/>
        </w:rPr>
        <w:t xml:space="preserve"> BIOL 101</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1"/>
          <w:sz w:val="24"/>
          <w:szCs w:val="24"/>
          <w:rtl w:val="0"/>
        </w:rPr>
        <w:t xml:space="preserve">COURSE NAME: </w:t>
      </w:r>
      <w:r w:rsidDel="00000000" w:rsidR="00000000" w:rsidRPr="00000000">
        <w:rPr>
          <w:rFonts w:ascii="Times New Roman" w:cs="Times New Roman" w:eastAsia="Times New Roman" w:hAnsi="Times New Roman"/>
          <w:b w:val="0"/>
          <w:sz w:val="24"/>
          <w:szCs w:val="24"/>
          <w:rtl w:val="0"/>
        </w:rPr>
        <w:t xml:space="preserve">GENERAL BIOLOGY</w:t>
      </w:r>
      <w:r w:rsidDel="00000000" w:rsidR="00000000" w:rsidRPr="00000000">
        <w:rPr>
          <w:rFonts w:ascii="Times New Roman" w:cs="Times New Roman" w:eastAsia="Times New Roman" w:hAnsi="Times New Roman"/>
          <w:b w:val="0"/>
          <w:sz w:val="36"/>
          <w:szCs w:val="36"/>
          <w:rtl w:val="0"/>
        </w:rPr>
        <w:t xml:space="preserve"> </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1"/>
          <w:sz w:val="24"/>
          <w:szCs w:val="24"/>
          <w:rtl w:val="0"/>
        </w:rPr>
        <w:t xml:space="preserve">CREDIT HOURS:</w:t>
      </w:r>
      <w:r w:rsidDel="00000000" w:rsidR="00000000" w:rsidRPr="00000000">
        <w:rPr>
          <w:rFonts w:ascii="Times New Roman" w:cs="Times New Roman" w:eastAsia="Times New Roman" w:hAnsi="Times New Roman"/>
          <w:b w:val="0"/>
          <w:sz w:val="24"/>
          <w:szCs w:val="24"/>
          <w:rtl w:val="0"/>
        </w:rPr>
        <w:t xml:space="preserve"> 5</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1"/>
          <w:sz w:val="24"/>
          <w:szCs w:val="24"/>
          <w:rtl w:val="0"/>
        </w:rPr>
        <w:t xml:space="preserve">PREREQUISITES:</w:t>
      </w:r>
      <w:r w:rsidDel="00000000" w:rsidR="00000000" w:rsidRPr="00000000">
        <w:rPr>
          <w:rFonts w:ascii="Times New Roman" w:cs="Times New Roman" w:eastAsia="Times New Roman" w:hAnsi="Times New Roman"/>
          <w:b w:val="0"/>
          <w:sz w:val="24"/>
          <w:szCs w:val="24"/>
          <w:rtl w:val="0"/>
        </w:rPr>
        <w:t xml:space="preserve"> None</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1"/>
          <w:sz w:val="24"/>
          <w:szCs w:val="24"/>
          <w:rtl w:val="0"/>
        </w:rPr>
        <w:t xml:space="preserve">COURSE DESCRIPTION: </w:t>
      </w:r>
      <w:r w:rsidDel="00000000" w:rsidR="00000000" w:rsidRPr="00000000">
        <w:rPr>
          <w:rFonts w:ascii="Times New Roman" w:cs="Times New Roman" w:eastAsia="Times New Roman" w:hAnsi="Times New Roman"/>
          <w:b w:val="0"/>
          <w:sz w:val="24"/>
          <w:szCs w:val="24"/>
          <w:rtl w:val="0"/>
        </w:rPr>
        <w:t xml:space="preserve">General Biology is an introduction to the study of biology and covers principles of life science from the chemical basis of life to the interactions between living organisms and their environment. The unifying biological principles of cell structure and function, genetics, development, metabolism, reproduction, and ecology are addressed. This course fulfills the life science general education requirement and is required for biology majors.  A practical laboratory component emphasizes scientific investigations and supports lecture material.</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1"/>
          <w:sz w:val="24"/>
          <w:szCs w:val="24"/>
          <w:rtl w:val="0"/>
        </w:rPr>
        <w:t xml:space="preserve">STUDENT ABILITIES:</w:t>
      </w:r>
      <w:r w:rsidDel="00000000" w:rsidR="00000000" w:rsidRPr="00000000">
        <w:rPr>
          <w:rFonts w:ascii="Times New Roman" w:cs="Times New Roman" w:eastAsia="Times New Roman" w:hAnsi="Times New Roman"/>
          <w:b w:val="0"/>
          <w:sz w:val="24"/>
          <w:szCs w:val="24"/>
          <w:rtl w:val="0"/>
        </w:rPr>
        <w:t xml:space="preserve"> This course will address the following student abilities as identified by Crowder College as being important for personal development:</w:t>
      </w:r>
      <w:r w:rsidDel="00000000" w:rsidR="00000000" w:rsidRPr="00000000">
        <w:rPr>
          <w:rtl w:val="0"/>
        </w:rPr>
      </w:r>
    </w:p>
    <w:p w:rsidR="00000000" w:rsidDel="00000000" w:rsidP="00000000" w:rsidRDefault="00000000" w:rsidRPr="00000000">
      <w:pPr>
        <w:spacing w:after="280" w:before="280" w:lineRule="auto"/>
        <w:ind w:left="360" w:firstLine="0"/>
        <w:contextualSpacing w:val="0"/>
      </w:pPr>
      <w:r w:rsidDel="00000000" w:rsidR="00000000" w:rsidRPr="00000000">
        <w:rPr>
          <w:rtl w:val="0"/>
        </w:rPr>
        <w:t xml:space="preserve">PE: Physical and Emotional Health -- Health is a condition of physical and emotional well being of the individual which is achieved through competent self care and satisfying relationships with others. </w:t>
      </w:r>
      <w:r w:rsidDel="00000000" w:rsidR="00000000" w:rsidRPr="00000000">
        <w:rPr>
          <w:rtl w:val="0"/>
        </w:rPr>
      </w:r>
    </w:p>
    <w:p w:rsidR="00000000" w:rsidDel="00000000" w:rsidP="00000000" w:rsidRDefault="00000000" w:rsidRPr="00000000">
      <w:pPr>
        <w:spacing w:after="280" w:before="0" w:lineRule="auto"/>
        <w:ind w:left="360" w:firstLine="0"/>
        <w:contextualSpacing w:val="0"/>
      </w:pPr>
      <w:r w:rsidDel="00000000" w:rsidR="00000000" w:rsidRPr="00000000">
        <w:rPr>
          <w:rtl w:val="0"/>
        </w:rPr>
        <w:t xml:space="preserve">PS: Problem solving -- Problem solving is the process of identifying an obstacle or dilemma, using critical thinking strategies and decision making skills, and applying appropriate measures needed to overcome or resolve the obstacle or dilemma. </w:t>
      </w:r>
    </w:p>
    <w:p w:rsidR="00000000" w:rsidDel="00000000" w:rsidP="00000000" w:rsidRDefault="00000000" w:rsidRPr="00000000">
      <w:pPr>
        <w:spacing w:after="280" w:before="0" w:lineRule="auto"/>
        <w:ind w:left="360" w:firstLine="0"/>
        <w:contextualSpacing w:val="0"/>
      </w:pPr>
      <w:r w:rsidDel="00000000" w:rsidR="00000000" w:rsidRPr="00000000">
        <w:rPr>
          <w:rtl w:val="0"/>
        </w:rPr>
        <w:t xml:space="preserve">EA: Environmental Awareness -- Environmental awareness is an understanding of the external conditions that influence growth and development and how human choices influence the relationship between living beings, their surroundings, and the quality of life.</w:t>
        <w:tab/>
      </w:r>
      <w:r w:rsidDel="00000000" w:rsidR="00000000" w:rsidRPr="00000000">
        <w:rPr>
          <w:i w:val="1"/>
          <w:rtl w:val="0"/>
        </w:rPr>
        <w:t xml:space="preserve"> </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1"/>
          <w:sz w:val="24"/>
          <w:szCs w:val="24"/>
          <w:rtl w:val="0"/>
        </w:rPr>
        <w:t xml:space="preserve">COMPETENCIES:</w:t>
      </w:r>
      <w:r w:rsidDel="00000000" w:rsidR="00000000" w:rsidRPr="00000000">
        <w:rPr>
          <w:rFonts w:ascii="Times New Roman" w:cs="Times New Roman" w:eastAsia="Times New Roman" w:hAnsi="Times New Roman"/>
          <w:b w:val="0"/>
          <w:sz w:val="24"/>
          <w:szCs w:val="24"/>
          <w:rtl w:val="0"/>
        </w:rPr>
        <w:t xml:space="preserve"> Students successfully completing the course will be able to:</w:t>
      </w:r>
      <w:r w:rsidDel="00000000" w:rsidR="00000000" w:rsidRPr="00000000">
        <w:rPr>
          <w:rtl w:val="0"/>
        </w:rPr>
      </w:r>
    </w:p>
    <w:p w:rsidR="00000000" w:rsidDel="00000000" w:rsidP="00000000" w:rsidRDefault="00000000" w:rsidRPr="00000000">
      <w:pPr>
        <w:numPr>
          <w:ilvl w:val="0"/>
          <w:numId w:val="1"/>
        </w:numPr>
        <w:ind w:left="720" w:hanging="360"/>
        <w:rPr/>
      </w:pPr>
      <w:r w:rsidDel="00000000" w:rsidR="00000000" w:rsidRPr="00000000">
        <w:rPr>
          <w:rtl w:val="0"/>
        </w:rPr>
        <w:t xml:space="preserve">Discuss the fundamentals of the chemical and cellular nature of living things. [PE]</w:t>
      </w:r>
    </w:p>
    <w:p w:rsidR="00000000" w:rsidDel="00000000" w:rsidP="00000000" w:rsidRDefault="00000000" w:rsidRPr="00000000">
      <w:pPr>
        <w:numPr>
          <w:ilvl w:val="0"/>
          <w:numId w:val="1"/>
        </w:numPr>
        <w:ind w:left="720" w:hanging="360"/>
        <w:rPr/>
      </w:pPr>
      <w:r w:rsidDel="00000000" w:rsidR="00000000" w:rsidRPr="00000000">
        <w:rPr>
          <w:rtl w:val="0"/>
        </w:rPr>
        <w:t xml:space="preserve">Describe the broad classifications of different types of living organisms. </w:t>
      </w:r>
    </w:p>
    <w:p w:rsidR="00000000" w:rsidDel="00000000" w:rsidP="00000000" w:rsidRDefault="00000000" w:rsidRPr="00000000">
      <w:pPr>
        <w:numPr>
          <w:ilvl w:val="0"/>
          <w:numId w:val="1"/>
        </w:numPr>
        <w:ind w:left="720" w:hanging="360"/>
        <w:rPr/>
      </w:pPr>
      <w:r w:rsidDel="00000000" w:rsidR="00000000" w:rsidRPr="00000000">
        <w:rPr>
          <w:rtl w:val="0"/>
        </w:rPr>
        <w:t xml:space="preserve">List several examples of the interdependence of living organisms. [EA]</w:t>
      </w:r>
    </w:p>
    <w:p w:rsidR="00000000" w:rsidDel="00000000" w:rsidP="00000000" w:rsidRDefault="00000000" w:rsidRPr="00000000">
      <w:pPr>
        <w:numPr>
          <w:ilvl w:val="0"/>
          <w:numId w:val="1"/>
        </w:numPr>
        <w:ind w:left="720" w:hanging="360"/>
        <w:rPr/>
      </w:pPr>
      <w:r w:rsidDel="00000000" w:rsidR="00000000" w:rsidRPr="00000000">
        <w:rPr>
          <w:rtl w:val="0"/>
        </w:rPr>
        <w:t xml:space="preserve">Demonstrate knowledge of basic anatomy and metabolism in multicellular organisms. [PE] </w:t>
      </w:r>
    </w:p>
    <w:p w:rsidR="00000000" w:rsidDel="00000000" w:rsidP="00000000" w:rsidRDefault="00000000" w:rsidRPr="00000000">
      <w:pPr>
        <w:numPr>
          <w:ilvl w:val="0"/>
          <w:numId w:val="1"/>
        </w:numPr>
        <w:ind w:left="720" w:hanging="360"/>
        <w:rPr/>
      </w:pPr>
      <w:r w:rsidDel="00000000" w:rsidR="00000000" w:rsidRPr="00000000">
        <w:rPr>
          <w:rtl w:val="0"/>
        </w:rPr>
        <w:t xml:space="preserve">Apply the scientific method to problem solving. [PS] </w:t>
      </w:r>
    </w:p>
    <w:p w:rsidR="00000000" w:rsidDel="00000000" w:rsidP="00000000" w:rsidRDefault="00000000" w:rsidRPr="00000000">
      <w:pPr>
        <w:numPr>
          <w:ilvl w:val="0"/>
          <w:numId w:val="1"/>
        </w:numPr>
        <w:ind w:left="720" w:hanging="360"/>
        <w:rPr/>
      </w:pPr>
      <w:r w:rsidDel="00000000" w:rsidR="00000000" w:rsidRPr="00000000">
        <w:rPr>
          <w:rtl w:val="0"/>
        </w:rPr>
        <w:t xml:space="preserve">Use the metric system and discuss its application to scientific measurements. [PS] </w:t>
      </w:r>
    </w:p>
    <w:p w:rsidR="00000000" w:rsidDel="00000000" w:rsidP="00000000" w:rsidRDefault="00000000" w:rsidRPr="00000000">
      <w:pPr>
        <w:numPr>
          <w:ilvl w:val="0"/>
          <w:numId w:val="1"/>
        </w:numPr>
        <w:ind w:left="720" w:hanging="360"/>
        <w:rPr/>
      </w:pPr>
      <w:r w:rsidDel="00000000" w:rsidR="00000000" w:rsidRPr="00000000">
        <w:rPr>
          <w:rtl w:val="0"/>
        </w:rPr>
        <w:t xml:space="preserve">Use the compound light microscope. [PS]</w:t>
      </w:r>
    </w:p>
    <w:p w:rsidR="00000000" w:rsidDel="00000000" w:rsidP="00000000" w:rsidRDefault="00000000" w:rsidRPr="00000000">
      <w:pPr>
        <w:numPr>
          <w:ilvl w:val="0"/>
          <w:numId w:val="1"/>
        </w:numPr>
        <w:ind w:left="720" w:right="-180" w:hanging="360"/>
        <w:rPr/>
      </w:pPr>
      <w:r w:rsidDel="00000000" w:rsidR="00000000" w:rsidRPr="00000000">
        <w:rPr>
          <w:rtl w:val="0"/>
        </w:rPr>
        <w:t xml:space="preserve">Interpret articles about biology in the media, including health and environmental topics. [PE EA]</w:t>
      </w:r>
    </w:p>
    <w:p w:rsidR="00000000" w:rsidDel="00000000" w:rsidP="00000000" w:rsidRDefault="00000000" w:rsidRPr="00000000">
      <w:pPr>
        <w:numPr>
          <w:ilvl w:val="0"/>
          <w:numId w:val="1"/>
        </w:numPr>
        <w:ind w:left="720" w:hanging="360"/>
        <w:rPr/>
      </w:pPr>
      <w:r w:rsidDel="00000000" w:rsidR="00000000" w:rsidRPr="00000000">
        <w:rPr>
          <w:rtl w:val="0"/>
        </w:rPr>
        <w:t xml:space="preserve">Demonstrate knowledge of basic laws of inheritance. [PE PS]</w:t>
      </w:r>
    </w:p>
    <w:p w:rsidR="00000000" w:rsidDel="00000000" w:rsidP="00000000" w:rsidRDefault="00000000" w:rsidRPr="00000000">
      <w:pPr>
        <w:ind w:left="360" w:firstLine="0"/>
        <w:contextualSpacing w:val="0"/>
      </w:pPr>
      <w:r w:rsidDel="00000000" w:rsidR="00000000" w:rsidRPr="00000000">
        <w:rPr>
          <w:rtl w:val="0"/>
        </w:rPr>
        <w:t xml:space="preserve">10.</w:t>
        <w:tab/>
        <w:t xml:space="preserve">Describe several metabolic activities within the cell.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tabs>
          <w:tab w:val="left" w:pos="0"/>
        </w:tabs>
        <w:contextualSpacing w:val="0"/>
      </w:pPr>
      <w:r w:rsidDel="00000000" w:rsidR="00000000" w:rsidRPr="00000000">
        <w:rPr>
          <w:rtl w:val="0"/>
        </w:rPr>
      </w:r>
    </w:p>
    <w:p w:rsidR="00000000" w:rsidDel="00000000" w:rsidP="00000000" w:rsidRDefault="00000000" w:rsidRPr="00000000">
      <w:pPr>
        <w:tabs>
          <w:tab w:val="left" w:pos="0"/>
        </w:tabs>
        <w:contextualSpacing w:val="0"/>
      </w:pPr>
      <w:r w:rsidDel="00000000" w:rsidR="00000000" w:rsidRPr="00000000">
        <w:rPr>
          <w:rtl w:val="0"/>
        </w:rPr>
      </w:r>
    </w:p>
    <w:p w:rsidR="00000000" w:rsidDel="00000000" w:rsidP="00000000" w:rsidRDefault="00000000" w:rsidRPr="00000000">
      <w:pPr>
        <w:tabs>
          <w:tab w:val="left" w:pos="0"/>
        </w:tabs>
        <w:contextualSpacing w:val="0"/>
      </w:pPr>
      <w:r w:rsidDel="00000000" w:rsidR="00000000" w:rsidRPr="00000000">
        <w:rPr>
          <w:rtl w:val="0"/>
        </w:rPr>
      </w:r>
    </w:p>
    <w:p w:rsidR="00000000" w:rsidDel="00000000" w:rsidP="00000000" w:rsidRDefault="00000000" w:rsidRPr="00000000">
      <w:pPr>
        <w:tabs>
          <w:tab w:val="left" w:pos="0"/>
        </w:tabs>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ETHICS: ACADEMIC MISCONDUCT</w:t>
      </w:r>
    </w:p>
    <w:p w:rsidR="00000000" w:rsidDel="00000000" w:rsidP="00000000" w:rsidRDefault="00000000" w:rsidRPr="00000000">
      <w:pPr>
        <w:widowControl w:val="0"/>
        <w:tabs>
          <w:tab w:val="left" w:pos="-1440"/>
        </w:tabs>
        <w:spacing w:after="0" w:before="0" w:line="240" w:lineRule="auto"/>
        <w:ind w:left="0" w:firstLine="0"/>
        <w:contextualSpacing w:val="0"/>
      </w:pPr>
      <w:r w:rsidDel="00000000" w:rsidR="00000000" w:rsidRPr="00000000">
        <w:rPr>
          <w:rFonts w:ascii="Times New Roman" w:cs="Times New Roman" w:eastAsia="Times New Roman" w:hAnsi="Times New Roman"/>
          <w:b w:val="0"/>
          <w:sz w:val="24"/>
          <w:szCs w:val="24"/>
          <w:rtl w:val="0"/>
        </w:rPr>
        <w:t xml:space="preserve">All forms of academic misconduct, including but not limited to, cheating, fabrication, plagiarism, or facilitating academic dishonesty are violations of college rules. Any student guilty of academic misconduct will automatically receive a grade of zero on that assignment or exam. All cases will be reported to the Academic Affairs Office to track repeat offenses, which would warrant further disciplinary action - up to expulsion from the college.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AMERICANS WITH DISABILITIES ACT (ADA): </w:t>
      </w:r>
    </w:p>
    <w:p w:rsidR="00000000" w:rsidDel="00000000" w:rsidP="00000000" w:rsidRDefault="00000000" w:rsidRPr="00000000">
      <w:pPr>
        <w:contextualSpacing w:val="0"/>
      </w:pPr>
      <w:r w:rsidDel="00000000" w:rsidR="00000000" w:rsidRPr="00000000">
        <w:rPr>
          <w:rtl w:val="0"/>
        </w:rPr>
        <w:t xml:space="preserve">Crowder College makes every effort to reasonably accommodate students with disabilities.  Students seeking accommodation must first contact the Disability Services Coordinator at the Neosho campus, (417) 455-5733, to apply for and request reasonable accommodations for documented disabilities.  Students at an off-campus instructional site may start this process with the Director of that site.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CREDIT HOUR POLICY: EXPECTATION FOR STUDENTS</w:t>
      </w:r>
    </w:p>
    <w:p w:rsidR="00000000" w:rsidDel="00000000" w:rsidP="00000000" w:rsidRDefault="00000000" w:rsidRPr="00000000">
      <w:pPr>
        <w:contextualSpacing w:val="0"/>
      </w:pPr>
      <w:r w:rsidDel="00000000" w:rsidR="00000000" w:rsidRPr="00000000">
        <w:rPr>
          <w:rtl w:val="0"/>
        </w:rPr>
        <w:t xml:space="preserve">Crowder College’s assignment of credit hours shall conform to commonly accepted practices in higher education and the federal definition of a credit hour. For each credit hour, students should anticipate spending a minimum of 150 minutes per week based on a 16-week semester. The distribution of this time will vary based on the course and delivery method, but could include direct faculty instruction, classroom activities, web-based activities, laboratory work, research, writing papers and reports, reading text and articles, internship hours, clinical hours, studio work, or class and assessment preparation.</w:t>
      </w:r>
    </w:p>
    <w:p w:rsidR="00000000" w:rsidDel="00000000" w:rsidP="00000000" w:rsidRDefault="00000000" w:rsidRPr="00000000">
      <w:pPr>
        <w:tabs>
          <w:tab w:val="left" w:pos="0"/>
        </w:tabs>
        <w:contextualSpacing w:val="0"/>
      </w:pPr>
      <w:r w:rsidDel="00000000" w:rsidR="00000000" w:rsidRPr="00000000">
        <w:rPr>
          <w:rtl w:val="0"/>
        </w:rPr>
      </w:r>
    </w:p>
    <w:sectPr>
      <w:headerReference r:id="rId5" w:type="default"/>
      <w:headerReference r:id="rId6" w:type="first"/>
      <w:footerReference r:id="rId7" w:type="default"/>
      <w:footerReference r:id="rId8" w:type="first"/>
      <w:pgSz w:h="15840" w:w="12240"/>
      <w:pgMar w:bottom="1080" w:top="1080" w:left="1080" w:right="108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Tahoma">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320"/>
        <w:tab w:val="right" w:pos="8640"/>
      </w:tabs>
      <w:spacing w:after="0" w:before="0" w:line="240" w:lineRule="auto"/>
      <w:contextualSpacing w:val="0"/>
    </w:pPr>
    <w:r w:rsidDel="00000000" w:rsidR="00000000" w:rsidRPr="00000000">
      <w:rPr>
        <w:rtl w:val="0"/>
      </w:rPr>
    </w:r>
  </w:p>
  <w:tbl>
    <w:tblPr>
      <w:tblStyle w:val="Table1"/>
      <w:bidi w:val="0"/>
      <w:tblW w:w="10296.0" w:type="dxa"/>
      <w:jc w:val="left"/>
      <w:tblInd w:w="-115.0" w:type="dxa"/>
      <w:tblLayout w:type="fixed"/>
      <w:tblLook w:val="0000"/>
    </w:tblPr>
    <w:tblGrid>
      <w:gridCol w:w="3432"/>
      <w:gridCol w:w="3432"/>
      <w:gridCol w:w="3432"/>
      <w:tblGridChange w:id="0">
        <w:tblGrid>
          <w:gridCol w:w="3432"/>
          <w:gridCol w:w="3432"/>
          <w:gridCol w:w="3432"/>
        </w:tblGrid>
      </w:tblGridChange>
    </w:tblGrid>
    <w:tr>
      <w:tc>
        <w:tcPr/>
        <w:p w:rsidR="00000000" w:rsidDel="00000000" w:rsidP="00000000" w:rsidRDefault="00000000" w:rsidRPr="00000000">
          <w:pPr>
            <w:tabs>
              <w:tab w:val="center" w:pos="4320"/>
              <w:tab w:val="right" w:pos="8640"/>
            </w:tabs>
            <w:spacing w:after="720" w:before="0" w:line="240" w:lineRule="auto"/>
            <w:contextualSpacing w:val="0"/>
          </w:pPr>
          <w:r w:rsidDel="00000000" w:rsidR="00000000" w:rsidRPr="00000000">
            <w:rPr>
              <w:rFonts w:ascii="Tahoma" w:cs="Tahoma" w:eastAsia="Tahoma" w:hAnsi="Tahoma"/>
              <w:b w:val="0"/>
              <w:i w:val="1"/>
              <w:sz w:val="18"/>
              <w:szCs w:val="18"/>
              <w:rtl w:val="0"/>
            </w:rPr>
            <w:t xml:space="preserve">Revision Date: 021512</w:t>
          </w:r>
        </w:p>
      </w:tc>
      <w:tc>
        <w:tcPr/>
        <w:p w:rsidR="00000000" w:rsidDel="00000000" w:rsidP="00000000" w:rsidRDefault="00000000" w:rsidRPr="00000000">
          <w:pPr>
            <w:tabs>
              <w:tab w:val="center" w:pos="4320"/>
              <w:tab w:val="right" w:pos="8640"/>
            </w:tabs>
            <w:spacing w:after="720" w:before="0" w:line="240" w:lineRule="auto"/>
            <w:contextualSpacing w:val="0"/>
            <w:jc w:val="center"/>
          </w:pPr>
          <w:r w:rsidDel="00000000" w:rsidR="00000000" w:rsidRPr="00000000">
            <w:rPr>
              <w:rFonts w:ascii="Tahoma" w:cs="Tahoma" w:eastAsia="Tahoma" w:hAnsi="Tahoma"/>
              <w:b w:val="0"/>
              <w:i w:val="1"/>
              <w:sz w:val="18"/>
              <w:szCs w:val="18"/>
              <w:rtl w:val="0"/>
            </w:rPr>
            <w:t xml:space="preserve">Page 2 of 2</w:t>
          </w:r>
        </w:p>
      </w:tc>
      <w:tc>
        <w:tcPr/>
        <w:p w:rsidR="00000000" w:rsidDel="00000000" w:rsidP="00000000" w:rsidRDefault="00000000" w:rsidRPr="00000000">
          <w:pPr>
            <w:tabs>
              <w:tab w:val="center" w:pos="4320"/>
              <w:tab w:val="right" w:pos="8640"/>
            </w:tabs>
            <w:spacing w:after="720" w:before="0" w:line="240" w:lineRule="auto"/>
            <w:contextualSpacing w:val="0"/>
            <w:jc w:val="right"/>
          </w:pPr>
          <w:r w:rsidDel="00000000" w:rsidR="00000000" w:rsidRPr="00000000">
            <w:rPr>
              <w:rFonts w:ascii="Tahoma" w:cs="Tahoma" w:eastAsia="Tahoma" w:hAnsi="Tahoma"/>
              <w:b w:val="0"/>
              <w:i w:val="1"/>
              <w:sz w:val="18"/>
              <w:szCs w:val="18"/>
              <w:rtl w:val="0"/>
            </w:rPr>
            <w:t xml:space="preserve">Form Revised: 102408</w:t>
          </w:r>
        </w:p>
      </w:tc>
    </w:tr>
  </w:tbl>
  <w:p w:rsidR="00000000" w:rsidDel="00000000" w:rsidP="00000000" w:rsidRDefault="00000000" w:rsidRPr="00000000">
    <w:pPr>
      <w:tabs>
        <w:tab w:val="center" w:pos="4320"/>
        <w:tab w:val="right" w:pos="8640"/>
      </w:tabs>
      <w:spacing w:after="720" w:before="0" w:line="240" w:lineRule="auto"/>
      <w:contextualSpacing w:val="0"/>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320"/>
        <w:tab w:val="right" w:pos="8640"/>
      </w:tabs>
      <w:spacing w:after="0" w:before="0" w:line="240" w:lineRule="auto"/>
      <w:contextualSpacing w:val="0"/>
    </w:pPr>
    <w:r w:rsidDel="00000000" w:rsidR="00000000" w:rsidRPr="00000000">
      <w:rPr>
        <w:rtl w:val="0"/>
      </w:rPr>
    </w:r>
  </w:p>
  <w:tbl>
    <w:tblPr>
      <w:tblStyle w:val="Table2"/>
      <w:bidi w:val="0"/>
      <w:tblW w:w="10296.0" w:type="dxa"/>
      <w:jc w:val="left"/>
      <w:tblInd w:w="-115.0" w:type="dxa"/>
      <w:tblLayout w:type="fixed"/>
      <w:tblLook w:val="0000"/>
    </w:tblPr>
    <w:tblGrid>
      <w:gridCol w:w="3432"/>
      <w:gridCol w:w="3432"/>
      <w:gridCol w:w="3432"/>
      <w:tblGridChange w:id="0">
        <w:tblGrid>
          <w:gridCol w:w="3432"/>
          <w:gridCol w:w="3432"/>
          <w:gridCol w:w="3432"/>
        </w:tblGrid>
      </w:tblGridChange>
    </w:tblGrid>
    <w:tr>
      <w:tc>
        <w:tcPr/>
        <w:p w:rsidR="00000000" w:rsidDel="00000000" w:rsidP="00000000" w:rsidRDefault="00000000" w:rsidRPr="00000000">
          <w:pPr>
            <w:tabs>
              <w:tab w:val="center" w:pos="4320"/>
              <w:tab w:val="right" w:pos="8640"/>
            </w:tabs>
            <w:spacing w:after="720" w:before="0" w:line="240" w:lineRule="auto"/>
            <w:contextualSpacing w:val="0"/>
          </w:pPr>
          <w:r w:rsidDel="00000000" w:rsidR="00000000" w:rsidRPr="00000000">
            <w:rPr>
              <w:rFonts w:ascii="Tahoma" w:cs="Tahoma" w:eastAsia="Tahoma" w:hAnsi="Tahoma"/>
              <w:b w:val="0"/>
              <w:i w:val="1"/>
              <w:sz w:val="18"/>
              <w:szCs w:val="18"/>
              <w:rtl w:val="0"/>
            </w:rPr>
            <w:t xml:space="preserve">Revision Date: 051112</w:t>
          </w:r>
        </w:p>
      </w:tc>
      <w:tc>
        <w:tcPr/>
        <w:p w:rsidR="00000000" w:rsidDel="00000000" w:rsidP="00000000" w:rsidRDefault="00000000" w:rsidRPr="00000000">
          <w:pPr>
            <w:tabs>
              <w:tab w:val="center" w:pos="4320"/>
              <w:tab w:val="right" w:pos="8640"/>
            </w:tabs>
            <w:spacing w:after="720" w:before="0" w:line="240" w:lineRule="auto"/>
            <w:contextualSpacing w:val="0"/>
            <w:jc w:val="center"/>
          </w:pPr>
          <w:r w:rsidDel="00000000" w:rsidR="00000000" w:rsidRPr="00000000">
            <w:rPr>
              <w:rFonts w:ascii="Tahoma" w:cs="Tahoma" w:eastAsia="Tahoma" w:hAnsi="Tahoma"/>
              <w:b w:val="0"/>
              <w:i w:val="1"/>
              <w:sz w:val="18"/>
              <w:szCs w:val="18"/>
              <w:rtl w:val="0"/>
            </w:rPr>
            <w:t xml:space="preserve">Page 1 of 2</w:t>
          </w:r>
        </w:p>
      </w:tc>
      <w:tc>
        <w:tcPr/>
        <w:p w:rsidR="00000000" w:rsidDel="00000000" w:rsidP="00000000" w:rsidRDefault="00000000" w:rsidRPr="00000000">
          <w:pPr>
            <w:tabs>
              <w:tab w:val="center" w:pos="4320"/>
              <w:tab w:val="right" w:pos="8640"/>
            </w:tabs>
            <w:spacing w:after="720" w:before="0" w:line="240" w:lineRule="auto"/>
            <w:contextualSpacing w:val="0"/>
            <w:jc w:val="right"/>
          </w:pPr>
          <w:r w:rsidDel="00000000" w:rsidR="00000000" w:rsidRPr="00000000">
            <w:rPr>
              <w:rFonts w:ascii="Tahoma" w:cs="Tahoma" w:eastAsia="Tahoma" w:hAnsi="Tahoma"/>
              <w:b w:val="0"/>
              <w:i w:val="1"/>
              <w:sz w:val="18"/>
              <w:szCs w:val="18"/>
              <w:rtl w:val="0"/>
            </w:rPr>
            <w:t xml:space="preserve">Form Revised: 102408</w:t>
          </w:r>
        </w:p>
      </w:tc>
    </w:tr>
  </w:tbl>
  <w:p w:rsidR="00000000" w:rsidDel="00000000" w:rsidP="00000000" w:rsidRDefault="00000000" w:rsidRPr="00000000">
    <w:pPr>
      <w:tabs>
        <w:tab w:val="center" w:pos="4320"/>
        <w:tab w:val="right" w:pos="8640"/>
      </w:tabs>
      <w:spacing w:after="720" w:before="0" w:line="240" w:lineRule="auto"/>
      <w:contextualSpacing w:val="0"/>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320"/>
        <w:tab w:val="right" w:pos="8640"/>
      </w:tabs>
      <w:spacing w:after="0" w:before="720" w:line="240" w:lineRule="auto"/>
      <w:contextualSpacing w:val="0"/>
    </w:pPr>
    <w:r w:rsidDel="00000000" w:rsidR="00000000" w:rsidRPr="00000000">
      <w:rPr>
        <w:rFonts w:ascii="Times New Roman" w:cs="Times New Roman" w:eastAsia="Times New Roman" w:hAnsi="Times New Roman"/>
        <w:b w:val="1"/>
        <w:sz w:val="24"/>
        <w:szCs w:val="24"/>
        <w:rtl w:val="0"/>
      </w:rPr>
      <w:t xml:space="preserve">Institutional Syllabus:</w:t>
    </w:r>
    <w:r w:rsidDel="00000000" w:rsidR="00000000" w:rsidRPr="00000000">
      <w:rPr>
        <w:rFonts w:ascii="Times New Roman" w:cs="Times New Roman" w:eastAsia="Times New Roman" w:hAnsi="Times New Roman"/>
        <w:b w:val="0"/>
        <w:sz w:val="24"/>
        <w:szCs w:val="24"/>
        <w:rtl w:val="0"/>
      </w:rPr>
      <w:t xml:space="preserve">  </w:t>
    </w:r>
    <w:r w:rsidDel="00000000" w:rsidR="00000000" w:rsidRPr="00000000">
      <w:rPr>
        <w:rFonts w:ascii="Times New Roman" w:cs="Times New Roman" w:eastAsia="Times New Roman" w:hAnsi="Times New Roman"/>
        <w:b w:val="0"/>
        <w:i w:val="1"/>
        <w:sz w:val="24"/>
        <w:szCs w:val="24"/>
        <w:rtl w:val="0"/>
      </w:rPr>
      <w:t xml:space="preserve">General Biology (BIOL 101)</w:t>
    </w:r>
  </w:p>
  <w:p w:rsidR="00000000" w:rsidDel="00000000" w:rsidP="00000000" w:rsidRDefault="00000000" w:rsidRPr="00000000">
    <w:pPr>
      <w:tabs>
        <w:tab w:val="center" w:pos="4320"/>
        <w:tab w:val="right" w:pos="8640"/>
      </w:tabs>
      <w:spacing w:after="0" w:before="0" w:line="240"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320"/>
        <w:tab w:val="right" w:pos="8640"/>
      </w:tabs>
      <w:spacing w:after="0" w:before="720" w:line="240" w:lineRule="auto"/>
      <w:contextualSpacing w:val="0"/>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lvl>
    <w:lvl w:ilvl="1">
      <w:start w:val="1"/>
      <w:numFmt w:val="decimal"/>
      <w:lvlText w:val="%2."/>
      <w:lvlJc w:val="left"/>
      <w:pPr>
        <w:ind w:left="1440" w:firstLine="1080"/>
      </w:pPr>
      <w:rPr/>
    </w:lvl>
    <w:lvl w:ilvl="2">
      <w:start w:val="1"/>
      <w:numFmt w:val="decimal"/>
      <w:lvlText w:val="%3."/>
      <w:lvlJc w:val="left"/>
      <w:pPr>
        <w:ind w:left="2160" w:firstLine="1800"/>
      </w:pPr>
      <w:rPr/>
    </w:lvl>
    <w:lvl w:ilvl="3">
      <w:start w:val="1"/>
      <w:numFmt w:val="decimal"/>
      <w:lvlText w:val="%4."/>
      <w:lvlJc w:val="left"/>
      <w:pPr>
        <w:ind w:left="2880" w:firstLine="2520"/>
      </w:pPr>
      <w:rPr/>
    </w:lvl>
    <w:lvl w:ilvl="4">
      <w:start w:val="1"/>
      <w:numFmt w:val="decimal"/>
      <w:lvlText w:val="%5."/>
      <w:lvlJc w:val="left"/>
      <w:pPr>
        <w:ind w:left="3600" w:firstLine="3240"/>
      </w:pPr>
      <w:rPr/>
    </w:lvl>
    <w:lvl w:ilvl="5">
      <w:start w:val="1"/>
      <w:numFmt w:val="decimal"/>
      <w:lvlText w:val="%6."/>
      <w:lvlJc w:val="left"/>
      <w:pPr>
        <w:ind w:left="4320" w:firstLine="3960"/>
      </w:pPr>
      <w:rPr/>
    </w:lvl>
    <w:lvl w:ilvl="6">
      <w:start w:val="1"/>
      <w:numFmt w:val="decimal"/>
      <w:lvlText w:val="%7."/>
      <w:lvlJc w:val="left"/>
      <w:pPr>
        <w:ind w:left="5040" w:firstLine="4680"/>
      </w:pPr>
      <w:rPr/>
    </w:lvl>
    <w:lvl w:ilvl="7">
      <w:start w:val="1"/>
      <w:numFmt w:val="decimal"/>
      <w:lvlText w:val="%8."/>
      <w:lvlJc w:val="left"/>
      <w:pPr>
        <w:ind w:left="5760" w:firstLine="5400"/>
      </w:pPr>
      <w:rPr/>
    </w:lvl>
    <w:lvl w:ilvl="8">
      <w:start w:val="1"/>
      <w:numFmt w:val="decimal"/>
      <w:lvlText w:val="%9."/>
      <w:lvlJc w:val="left"/>
      <w:pPr>
        <w:ind w:left="6480" w:firstLine="612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